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both"/>
        <w:rPr>
          <w:rFonts w:ascii="Manrope" w:cs="Manrope" w:eastAsia="Manrope" w:hAnsi="Manrope"/>
        </w:rPr>
      </w:pPr>
      <w:r w:rsidDel="00000000" w:rsidR="00000000" w:rsidRPr="00000000">
        <w:rPr>
          <w:rFonts w:ascii="Manrope" w:cs="Manrope" w:eastAsia="Manrope" w:hAnsi="Manrope"/>
          <w:b w:val="1"/>
          <w:bCs w:val="1"/>
          <w:sz w:val="40"/>
          <w:szCs w:val="40"/>
          <w:rtl w:val="0"/>
        </w:rPr>
        <w:t xml:space="preserve">Mateus Scherer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both"/>
        <w:rPr>
          <w:rFonts w:ascii="Manrope" w:cs="Manrope" w:eastAsia="Manrope" w:hAnsi="Manrope"/>
        </w:rPr>
      </w:pPr>
      <w:r w:rsidDel="00000000" w:rsidR="00000000" w:rsidRPr="00000000">
        <w:rPr>
          <w:rFonts w:ascii="Manrope" w:cs="Manrope" w:eastAsia="Manrope" w:hAnsi="Manrope"/>
          <w:b w:val="1"/>
          <w:bCs w:val="1"/>
          <w:rtl w:val="0"/>
        </w:rPr>
        <w:t xml:space="preserve">CEO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Fonts w:ascii="Manrope" w:cs="Manrope" w:eastAsia="Manrope" w:hAnsi="Manrope"/>
          <w:rtl w:val="0"/>
        </w:rPr>
        <w:t xml:space="preserve">Mateus Scherer Schwening é o CEO da Stone, cargo que ocupa desde março de 2026. Ele também atuou como Diretor Financeiro (CFO) e Diretor de Relações com Investidores de junho e julho de 2023 até março de 2026. Mateus é sócio da StoneCo desde 2015, onde tem sido responsável por Tesouraria, Alocação de Capital e Projetos Estratégicos relacionados a novos investimentos, fusões e aquisições, captação de recursos e remuneração. Antes de ingressar na empresa, atuou como analista de ações na Nucleo Capital entre 2013 e 2015. Mateus é graduado em Economia pelo Insper.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anrope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anrope-regular.ttf"/><Relationship Id="rId2" Type="http://schemas.openxmlformats.org/officeDocument/2006/relationships/font" Target="fonts/Manrope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